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F4D9" w14:textId="77777777" w:rsidR="00333061" w:rsidRDefault="00333061" w:rsidP="00333061"/>
    <w:p w14:paraId="388105D2" w14:textId="77777777" w:rsidR="00333061" w:rsidRDefault="00333061" w:rsidP="00333061"/>
    <w:p w14:paraId="5EE53669" w14:textId="77777777" w:rsidR="00001E57" w:rsidRDefault="00001E57" w:rsidP="00333061"/>
    <w:p w14:paraId="6574AC62" w14:textId="52D4E2F7" w:rsidR="001732EC" w:rsidRPr="001732EC" w:rsidRDefault="004A0A72" w:rsidP="00373E16">
      <w:pPr>
        <w:pStyle w:val="Heading1"/>
      </w:pPr>
      <w:bookmarkStart w:id="0" w:name="_Toc135690280"/>
      <w:bookmarkStart w:id="1" w:name="_Toc135723976"/>
      <w:r>
        <w:t>Example decision letter</w:t>
      </w:r>
    </w:p>
    <w:bookmarkEnd w:id="0"/>
    <w:bookmarkEnd w:id="1"/>
    <w:p w14:paraId="32223A22" w14:textId="3C88E1D5" w:rsidR="001732EC" w:rsidRPr="00662EB2" w:rsidRDefault="00BE0AF7" w:rsidP="00662EB2">
      <w:pPr>
        <w:rPr>
          <w:rFonts w:ascii="Lexend Deca Light" w:hAnsi="Lexend Deca Light"/>
          <w:color w:val="00407B"/>
          <w:sz w:val="36"/>
          <w:szCs w:val="36"/>
          <w:lang w:val="en-US"/>
        </w:rPr>
      </w:pPr>
      <w:r>
        <w:rPr>
          <w:rFonts w:ascii="Lexend Deca Light" w:hAnsi="Lexend Deca Light"/>
          <w:color w:val="00407B"/>
          <w:sz w:val="32"/>
          <w:szCs w:val="32"/>
          <w:lang w:val="en-US"/>
        </w:rPr>
        <w:t>For a</w:t>
      </w:r>
      <w:r w:rsidR="008E2104">
        <w:rPr>
          <w:rFonts w:ascii="Lexend Deca Light" w:hAnsi="Lexend Deca Light"/>
          <w:color w:val="00407B"/>
          <w:sz w:val="32"/>
          <w:szCs w:val="32"/>
          <w:lang w:val="en-US"/>
        </w:rPr>
        <w:t>n academy</w:t>
      </w:r>
      <w:r>
        <w:rPr>
          <w:rFonts w:ascii="Lexend Deca Light" w:hAnsi="Lexend Deca Light"/>
          <w:color w:val="00407B"/>
          <w:sz w:val="32"/>
          <w:szCs w:val="32"/>
          <w:lang w:val="en-US"/>
        </w:rPr>
        <w:t xml:space="preserve"> complaints panel hearing outcome</w:t>
      </w:r>
    </w:p>
    <w:p w14:paraId="276A6C71" w14:textId="77777777" w:rsidR="00D33CF4" w:rsidRDefault="00D33CF4" w:rsidP="00A51B87">
      <w:pPr>
        <w:pStyle w:val="Bodytext1"/>
        <w:spacing w:before="480"/>
      </w:pPr>
      <w:r>
        <w:t>[</w:t>
      </w:r>
      <w:r w:rsidRPr="0050069A">
        <w:rPr>
          <w:highlight w:val="yellow"/>
        </w:rPr>
        <w:t>Date</w:t>
      </w:r>
      <w:r>
        <w:t>]</w:t>
      </w:r>
    </w:p>
    <w:p w14:paraId="38CF05A4" w14:textId="77777777" w:rsidR="00D33CF4" w:rsidRPr="00A51B87" w:rsidRDefault="00D33CF4" w:rsidP="00A51B87">
      <w:pPr>
        <w:pStyle w:val="Heading4"/>
        <w:rPr>
          <w:b w:val="0"/>
          <w:bCs/>
        </w:rPr>
      </w:pPr>
      <w:r w:rsidRPr="00A51B87">
        <w:rPr>
          <w:b w:val="0"/>
          <w:bCs/>
        </w:rPr>
        <w:t>Confidential: complaints panel outcome</w:t>
      </w:r>
    </w:p>
    <w:p w14:paraId="79182F34" w14:textId="77777777" w:rsidR="00D33CF4" w:rsidRDefault="00D33CF4" w:rsidP="00925815">
      <w:pPr>
        <w:pStyle w:val="Bodytext1"/>
        <w:spacing w:before="360"/>
      </w:pPr>
      <w:r>
        <w:t>Dear [</w:t>
      </w:r>
      <w:r w:rsidRPr="003207BE">
        <w:rPr>
          <w:highlight w:val="yellow"/>
        </w:rPr>
        <w:t xml:space="preserve">name of </w:t>
      </w:r>
      <w:r w:rsidRPr="0050069A">
        <w:rPr>
          <w:highlight w:val="yellow"/>
        </w:rPr>
        <w:t>complainant</w:t>
      </w:r>
      <w:r>
        <w:t>],</w:t>
      </w:r>
    </w:p>
    <w:p w14:paraId="2FD7DACC" w14:textId="07C65C10" w:rsidR="00D33CF4" w:rsidRDefault="00D33CF4" w:rsidP="00A51B87">
      <w:pPr>
        <w:pStyle w:val="Bodytext1"/>
      </w:pPr>
      <w:r>
        <w:t xml:space="preserve">Following the complaints panel </w:t>
      </w:r>
      <w:r w:rsidR="00EE19EF">
        <w:t xml:space="preserve">hearing </w:t>
      </w:r>
      <w:r>
        <w:t>held on [</w:t>
      </w:r>
      <w:r w:rsidRPr="0050069A">
        <w:rPr>
          <w:highlight w:val="yellow"/>
        </w:rPr>
        <w:t>date</w:t>
      </w:r>
      <w:r>
        <w:t>], I am writing to inform you of the panel’s decision.</w:t>
      </w:r>
    </w:p>
    <w:p w14:paraId="06F19629" w14:textId="77777777" w:rsidR="00D33CF4" w:rsidRDefault="00D33CF4" w:rsidP="00A51B87">
      <w:pPr>
        <w:pStyle w:val="Bodytext1"/>
      </w:pPr>
      <w:r>
        <w:t>Your complaint was [</w:t>
      </w:r>
      <w:r w:rsidRPr="003207BE">
        <w:rPr>
          <w:highlight w:val="yellow"/>
        </w:rPr>
        <w:t>summarise complaint</w:t>
      </w:r>
      <w:r>
        <w:t>].</w:t>
      </w:r>
    </w:p>
    <w:p w14:paraId="7D1A5265" w14:textId="77777777" w:rsidR="00D33CF4" w:rsidRDefault="00D33CF4" w:rsidP="00A51B87">
      <w:pPr>
        <w:pStyle w:val="Bodytext1"/>
      </w:pPr>
      <w:r>
        <w:t>The following evidence was considered [</w:t>
      </w:r>
      <w:r w:rsidRPr="00A21B7F">
        <w:rPr>
          <w:highlight w:val="yellow"/>
        </w:rPr>
        <w:t>summarise evidence</w:t>
      </w:r>
      <w:r>
        <w:t>].</w:t>
      </w:r>
    </w:p>
    <w:p w14:paraId="75D7F309" w14:textId="77777777" w:rsidR="00D33CF4" w:rsidRDefault="00D33CF4" w:rsidP="00A51B87">
      <w:pPr>
        <w:pStyle w:val="Bodytext1"/>
      </w:pPr>
      <w:r w:rsidRPr="00FF7D47">
        <w:t>After reviewing the evidence and questioning those concerned, the panel has</w:t>
      </w:r>
      <w:r>
        <w:t>:</w:t>
      </w:r>
    </w:p>
    <w:p w14:paraId="78939455" w14:textId="7001DE66" w:rsidR="00D33CF4" w:rsidRPr="009C7B24" w:rsidRDefault="00D33CF4" w:rsidP="00A51B87">
      <w:pPr>
        <w:pStyle w:val="Bodytextbullets"/>
        <w:ind w:left="709"/>
        <w:rPr>
          <w:color w:val="auto"/>
          <w:highlight w:val="yellow"/>
        </w:rPr>
      </w:pPr>
      <w:r w:rsidRPr="009C7B24">
        <w:rPr>
          <w:color w:val="auto"/>
          <w:highlight w:val="yellow"/>
        </w:rPr>
        <w:t xml:space="preserve">upheld the complaint in whole/in part </w:t>
      </w:r>
    </w:p>
    <w:p w14:paraId="50AE68A7" w14:textId="77777777" w:rsidR="00D33CF4" w:rsidRPr="003207BE" w:rsidRDefault="00D33CF4" w:rsidP="00A51B87">
      <w:pPr>
        <w:pStyle w:val="Bodytext1"/>
      </w:pPr>
      <w:r w:rsidRPr="003207BE">
        <w:t xml:space="preserve">OR </w:t>
      </w:r>
    </w:p>
    <w:p w14:paraId="4DF1BE89" w14:textId="77777777" w:rsidR="00D33CF4" w:rsidRPr="009C7B24" w:rsidRDefault="00D33CF4" w:rsidP="00A51B87">
      <w:pPr>
        <w:pStyle w:val="Bodytextbullets"/>
        <w:ind w:left="709"/>
        <w:rPr>
          <w:color w:val="auto"/>
          <w:highlight w:val="yellow"/>
        </w:rPr>
      </w:pPr>
      <w:r w:rsidRPr="009C7B24">
        <w:rPr>
          <w:color w:val="auto"/>
          <w:highlight w:val="yellow"/>
        </w:rPr>
        <w:t>not upheld the complaint and no further action will be taken</w:t>
      </w:r>
    </w:p>
    <w:p w14:paraId="4E276EE0" w14:textId="6AF3BA4A" w:rsidR="00D33CF4" w:rsidRPr="003207BE" w:rsidRDefault="00D33CF4" w:rsidP="008551B1">
      <w:pPr>
        <w:pStyle w:val="Bodytext1"/>
        <w:spacing w:before="200"/>
        <w:rPr>
          <w:highlight w:val="yellow"/>
        </w:rPr>
      </w:pPr>
      <w:r w:rsidRPr="003207BE">
        <w:rPr>
          <w:highlight w:val="yellow"/>
        </w:rPr>
        <w:t>Whatever the outcome, clearly state the reason/s for the decision reached</w:t>
      </w:r>
      <w:r>
        <w:rPr>
          <w:highlight w:val="yellow"/>
        </w:rPr>
        <w:t xml:space="preserve"> and outline any recommendations issued to the school to achieve </w:t>
      </w:r>
      <w:r w:rsidR="008551B1">
        <w:rPr>
          <w:highlight w:val="yellow"/>
        </w:rPr>
        <w:t>reconciliation</w:t>
      </w:r>
      <w:r>
        <w:rPr>
          <w:highlight w:val="yellow"/>
        </w:rPr>
        <w:t xml:space="preserve"> and resolution.</w:t>
      </w:r>
    </w:p>
    <w:p w14:paraId="59D570CC" w14:textId="77777777" w:rsidR="00D33CF4" w:rsidRPr="003207BE" w:rsidRDefault="00D33CF4" w:rsidP="008551B1">
      <w:pPr>
        <w:pStyle w:val="Bodytext1"/>
        <w:rPr>
          <w:highlight w:val="yellow"/>
        </w:rPr>
      </w:pPr>
      <w:r w:rsidRPr="003207BE">
        <w:rPr>
          <w:highlight w:val="yellow"/>
        </w:rPr>
        <w:t xml:space="preserve">If a complaint is upheld in whole or in part, one or more of the following may also be </w:t>
      </w:r>
      <w:r>
        <w:rPr>
          <w:highlight w:val="yellow"/>
        </w:rPr>
        <w:t>included:</w:t>
      </w:r>
    </w:p>
    <w:p w14:paraId="6C5531C0" w14:textId="77777777" w:rsidR="00D33CF4" w:rsidRPr="009F6A31" w:rsidRDefault="00D33CF4" w:rsidP="008551B1">
      <w:pPr>
        <w:pStyle w:val="Bodytextbullets"/>
        <w:ind w:left="709" w:hanging="357"/>
        <w:contextualSpacing w:val="0"/>
        <w:rPr>
          <w:color w:val="auto"/>
          <w:highlight w:val="yellow"/>
        </w:rPr>
      </w:pPr>
      <w:r w:rsidRPr="009F6A31">
        <w:rPr>
          <w:color w:val="auto"/>
          <w:highlight w:val="yellow"/>
        </w:rPr>
        <w:t>an explanation</w:t>
      </w:r>
    </w:p>
    <w:p w14:paraId="1B628551" w14:textId="77777777" w:rsidR="00D33CF4" w:rsidRPr="009F6A31" w:rsidRDefault="00D33CF4" w:rsidP="008551B1">
      <w:pPr>
        <w:pStyle w:val="Bodytextbullets"/>
        <w:ind w:left="709" w:hanging="357"/>
        <w:contextualSpacing w:val="0"/>
        <w:rPr>
          <w:color w:val="auto"/>
          <w:highlight w:val="yellow"/>
        </w:rPr>
      </w:pPr>
      <w:r w:rsidRPr="009F6A31">
        <w:rPr>
          <w:color w:val="auto"/>
          <w:highlight w:val="yellow"/>
        </w:rPr>
        <w:t xml:space="preserve">an admission that the situation could have been handled differently or better </w:t>
      </w:r>
    </w:p>
    <w:p w14:paraId="2DA143ED" w14:textId="77777777" w:rsidR="00D33CF4" w:rsidRPr="009F6A31" w:rsidRDefault="00D33CF4" w:rsidP="008551B1">
      <w:pPr>
        <w:pStyle w:val="Bodytextbullets"/>
        <w:ind w:left="709" w:hanging="357"/>
        <w:contextualSpacing w:val="0"/>
        <w:rPr>
          <w:color w:val="auto"/>
          <w:highlight w:val="yellow"/>
        </w:rPr>
      </w:pPr>
      <w:r w:rsidRPr="009F6A31">
        <w:rPr>
          <w:color w:val="auto"/>
          <w:highlight w:val="yellow"/>
        </w:rPr>
        <w:t>an assurance that we will try to ensure the event complained of will not recur</w:t>
      </w:r>
    </w:p>
    <w:p w14:paraId="1EB7AA39" w14:textId="77777777" w:rsidR="00D33CF4" w:rsidRPr="009F6A31" w:rsidRDefault="00D33CF4" w:rsidP="008551B1">
      <w:pPr>
        <w:pStyle w:val="Bodytextbullets"/>
        <w:ind w:left="709" w:hanging="357"/>
        <w:contextualSpacing w:val="0"/>
        <w:rPr>
          <w:color w:val="auto"/>
          <w:highlight w:val="yellow"/>
        </w:rPr>
      </w:pPr>
      <w:r w:rsidRPr="009F6A31">
        <w:rPr>
          <w:color w:val="auto"/>
          <w:highlight w:val="yellow"/>
        </w:rPr>
        <w:t>an explanation of the steps that have been or will be taken to help ensure that it will not happen again and an indication of the timescales within which any changes will be made</w:t>
      </w:r>
    </w:p>
    <w:p w14:paraId="070A1F5B" w14:textId="77777777" w:rsidR="00D33CF4" w:rsidRPr="009F6A31" w:rsidRDefault="00D33CF4" w:rsidP="008551B1">
      <w:pPr>
        <w:pStyle w:val="Bodytextbullets"/>
        <w:ind w:left="709" w:hanging="357"/>
        <w:contextualSpacing w:val="0"/>
        <w:rPr>
          <w:color w:val="auto"/>
          <w:highlight w:val="yellow"/>
        </w:rPr>
      </w:pPr>
      <w:r w:rsidRPr="009F6A31">
        <w:rPr>
          <w:color w:val="auto"/>
          <w:highlight w:val="yellow"/>
        </w:rPr>
        <w:t>an undertaking to review school policies in light of the complaint</w:t>
      </w:r>
    </w:p>
    <w:p w14:paraId="2A61A6F3" w14:textId="77777777" w:rsidR="00D33CF4" w:rsidRPr="009F6A31" w:rsidRDefault="00D33CF4" w:rsidP="008551B1">
      <w:pPr>
        <w:pStyle w:val="Bodytextbullets"/>
        <w:ind w:left="709" w:hanging="357"/>
        <w:contextualSpacing w:val="0"/>
        <w:rPr>
          <w:color w:val="auto"/>
          <w:highlight w:val="yellow"/>
        </w:rPr>
      </w:pPr>
      <w:r w:rsidRPr="009F6A31">
        <w:rPr>
          <w:color w:val="auto"/>
          <w:highlight w:val="yellow"/>
        </w:rPr>
        <w:t>an apology</w:t>
      </w:r>
    </w:p>
    <w:p w14:paraId="023896E5" w14:textId="77777777" w:rsidR="008551B1" w:rsidRDefault="008551B1">
      <w:pPr>
        <w:spacing w:after="0" w:line="240" w:lineRule="auto"/>
      </w:pPr>
      <w:r>
        <w:br w:type="page"/>
      </w:r>
    </w:p>
    <w:p w14:paraId="50800493" w14:textId="03AF270F" w:rsidR="009F6A31" w:rsidRDefault="00D33CF4" w:rsidP="008551B1">
      <w:pPr>
        <w:pStyle w:val="Bodytext1"/>
      </w:pPr>
      <w:r>
        <w:lastRenderedPageBreak/>
        <w:t xml:space="preserve">If you believe the school/trust did not handle your complaint in </w:t>
      </w:r>
      <w:r w:rsidR="0048205F">
        <w:t>a</w:t>
      </w:r>
      <w:r>
        <w:t>ccordance with the published complaints procedure or it acted unlawfully or unreasonably in the exercises of its duties under education law, you can refer your complaint to the</w:t>
      </w:r>
      <w:r w:rsidR="00C8667A">
        <w:t xml:space="preserve"> </w:t>
      </w:r>
      <w:r w:rsidR="00C8667A" w:rsidRPr="000B1ECB">
        <w:t>Education and Skills Funding Agency</w:t>
      </w:r>
      <w:r>
        <w:t xml:space="preserve"> </w:t>
      </w:r>
      <w:r w:rsidR="00C8667A">
        <w:t>(</w:t>
      </w:r>
      <w:r>
        <w:t>ESFA</w:t>
      </w:r>
      <w:r w:rsidR="00C8667A">
        <w:t>)</w:t>
      </w:r>
      <w:r>
        <w:t xml:space="preserve">. </w:t>
      </w:r>
    </w:p>
    <w:p w14:paraId="7F4E774A" w14:textId="34E501BA" w:rsidR="00D33CF4" w:rsidRDefault="00D33CF4" w:rsidP="008551B1">
      <w:pPr>
        <w:pStyle w:val="Bodytext1"/>
      </w:pPr>
      <w:r>
        <w:t>The ESFA will not re-investigate the complaint or overturn the panel’s decision, but will intervene if the trust has:</w:t>
      </w:r>
    </w:p>
    <w:p w14:paraId="004348E0" w14:textId="77777777" w:rsidR="00D33CF4" w:rsidRPr="009F6A31" w:rsidRDefault="00D33CF4" w:rsidP="008551B1">
      <w:pPr>
        <w:pStyle w:val="Bodytextbullets"/>
        <w:ind w:left="709" w:hanging="357"/>
        <w:contextualSpacing w:val="0"/>
        <w:rPr>
          <w:color w:val="auto"/>
        </w:rPr>
      </w:pPr>
      <w:r w:rsidRPr="009F6A31">
        <w:rPr>
          <w:color w:val="auto"/>
        </w:rPr>
        <w:t>breached a clause in its funding agreement</w:t>
      </w:r>
    </w:p>
    <w:p w14:paraId="304F5793" w14:textId="77777777" w:rsidR="00D33CF4" w:rsidRPr="009F6A31" w:rsidRDefault="00D33CF4" w:rsidP="008551B1">
      <w:pPr>
        <w:pStyle w:val="Bodytextbullets"/>
        <w:ind w:left="709" w:hanging="357"/>
        <w:contextualSpacing w:val="0"/>
        <w:rPr>
          <w:color w:val="auto"/>
        </w:rPr>
      </w:pPr>
      <w:r w:rsidRPr="009F6A31">
        <w:rPr>
          <w:color w:val="auto"/>
        </w:rPr>
        <w:t>failed to act in accordance with its duties under education law</w:t>
      </w:r>
    </w:p>
    <w:p w14:paraId="6EDF5D98" w14:textId="77777777" w:rsidR="00D33CF4" w:rsidRPr="009F6A31" w:rsidRDefault="00D33CF4" w:rsidP="008551B1">
      <w:pPr>
        <w:pStyle w:val="Bodytextbullets"/>
        <w:ind w:left="709" w:hanging="357"/>
        <w:contextualSpacing w:val="0"/>
        <w:rPr>
          <w:color w:val="auto"/>
        </w:rPr>
      </w:pPr>
      <w:r w:rsidRPr="009F6A31">
        <w:rPr>
          <w:color w:val="auto"/>
        </w:rPr>
        <w:t>acted (or is proposing to act) unreasonably when exercising related education functions</w:t>
      </w:r>
    </w:p>
    <w:p w14:paraId="284DF18E" w14:textId="77777777" w:rsidR="008551B1" w:rsidRDefault="00D33CF4" w:rsidP="008551B1">
      <w:pPr>
        <w:pStyle w:val="Bodytext1"/>
        <w:spacing w:after="80"/>
      </w:pPr>
      <w:r>
        <w:t>You</w:t>
      </w:r>
      <w:r w:rsidRPr="000B1ECB">
        <w:t xml:space="preserve"> can refer </w:t>
      </w:r>
      <w:r>
        <w:t>your</w:t>
      </w:r>
      <w:r w:rsidRPr="000B1ECB">
        <w:t xml:space="preserve"> complaint to the ESFA online at </w:t>
      </w:r>
      <w:hyperlink r:id="rId11" w:history="1">
        <w:r w:rsidRPr="003A464A">
          <w:rPr>
            <w:rStyle w:val="Hyperlink"/>
          </w:rPr>
          <w:t>www.education.gov.uk/contactus</w:t>
        </w:r>
      </w:hyperlink>
      <w:r>
        <w:t>,</w:t>
      </w:r>
      <w:r w:rsidRPr="000B1ECB">
        <w:t xml:space="preserve"> by telephone on 0370 000 2288 or by writing to</w:t>
      </w:r>
      <w:r w:rsidR="008551B1">
        <w:t>:</w:t>
      </w:r>
    </w:p>
    <w:p w14:paraId="0A168B7B" w14:textId="51389759" w:rsidR="00D33CF4" w:rsidRDefault="00D33CF4" w:rsidP="008551B1">
      <w:pPr>
        <w:pStyle w:val="Bodytext1"/>
      </w:pPr>
      <w:r w:rsidRPr="000B1ECB">
        <w:t>Academy Complaints and Customer Insight Unit</w:t>
      </w:r>
      <w:r>
        <w:t xml:space="preserve">, </w:t>
      </w:r>
      <w:r w:rsidRPr="000B1ECB">
        <w:t>Education and Skills Funding Agency</w:t>
      </w:r>
      <w:r>
        <w:t xml:space="preserve">, </w:t>
      </w:r>
      <w:r w:rsidRPr="000B1ECB">
        <w:t>Cheylesmore House</w:t>
      </w:r>
      <w:r>
        <w:t xml:space="preserve">, </w:t>
      </w:r>
      <w:r w:rsidRPr="000B1ECB">
        <w:t>5 Quinton Road</w:t>
      </w:r>
      <w:r>
        <w:t xml:space="preserve">, </w:t>
      </w:r>
      <w:r w:rsidRPr="000B1ECB">
        <w:t>Coventry</w:t>
      </w:r>
      <w:r>
        <w:t xml:space="preserve">, </w:t>
      </w:r>
      <w:r w:rsidRPr="000B1ECB">
        <w:t>CV1 2WT</w:t>
      </w:r>
      <w:r>
        <w:t>.</w:t>
      </w:r>
    </w:p>
    <w:p w14:paraId="1DF19985" w14:textId="77777777" w:rsidR="00D33CF4" w:rsidRDefault="00D33CF4" w:rsidP="008551B1">
      <w:pPr>
        <w:pStyle w:val="Bodytext1"/>
        <w:spacing w:before="360" w:after="240"/>
      </w:pPr>
      <w:r>
        <w:t>Yours sincerely,</w:t>
      </w:r>
    </w:p>
    <w:p w14:paraId="04ED1F63" w14:textId="429852C7" w:rsidR="009A3FE1" w:rsidRPr="00A51B87" w:rsidRDefault="00D33CF4" w:rsidP="007D44AC">
      <w:pPr>
        <w:pStyle w:val="Bodytext1"/>
        <w:spacing w:before="600" w:after="720"/>
        <w:rPr>
          <w:rFonts w:ascii="Calibri" w:eastAsiaTheme="minorEastAsia" w:hAnsi="Calibri"/>
          <w:lang w:val="en-GB"/>
        </w:rPr>
      </w:pPr>
      <w:r>
        <w:t>[</w:t>
      </w:r>
      <w:r w:rsidRPr="003207BE">
        <w:rPr>
          <w:highlight w:val="yellow"/>
        </w:rPr>
        <w:t>Panel chair OR clerk on behalf of the panel</w:t>
      </w:r>
      <w:r>
        <w:t>]</w:t>
      </w:r>
    </w:p>
    <w:p w14:paraId="1189DAEA" w14:textId="2AD309B6" w:rsidR="009A3FE1" w:rsidRPr="009A3FE1" w:rsidRDefault="00A51B87" w:rsidP="009A3FE1">
      <w:pPr>
        <w:rPr>
          <w:rFonts w:ascii="Lexend Deca Light" w:eastAsiaTheme="minorEastAsia" w:hAnsi="Lexend Deca Light"/>
          <w:lang w:val="en-US"/>
        </w:rPr>
      </w:pPr>
      <w:r>
        <w:rPr>
          <w:rFonts w:ascii="Lexend Deca Light" w:eastAsia="Calibri" w:hAnsi="Lexend Deca Light" w:cs="Calibri"/>
          <w:noProof/>
          <w:color w:val="2E2625"/>
          <w:szCs w:val="24"/>
          <w:lang w:val="en-US"/>
          <w14:ligatures w14:val="standardContextual"/>
        </w:rPr>
        <mc:AlternateContent>
          <mc:Choice Requires="wps">
            <w:drawing>
              <wp:inline distT="0" distB="0" distL="0" distR="0" wp14:anchorId="139D53DC" wp14:editId="15A6DF5D">
                <wp:extent cx="6124680" cy="2057400"/>
                <wp:effectExtent l="0" t="0" r="9525" b="0"/>
                <wp:docPr id="2007955075" name="Text Box 2007955075"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680" cy="2057400"/>
                        </a:xfrm>
                        <a:prstGeom prst="rect">
                          <a:avLst/>
                        </a:prstGeom>
                        <a:solidFill>
                          <a:schemeClr val="bg1">
                            <a:lumMod val="95000"/>
                          </a:schemeClr>
                        </a:solidFill>
                        <a:ln w="6350">
                          <a:noFill/>
                        </a:ln>
                      </wps:spPr>
                      <wps:txbx>
                        <w:txbxContent>
                          <w:p w14:paraId="462556C7" w14:textId="77777777" w:rsidR="00A51B87" w:rsidRDefault="00A51B87" w:rsidP="00A51B87">
                            <w:pPr>
                              <w:pStyle w:val="Bodytextbullets"/>
                              <w:ind w:left="357" w:hanging="357"/>
                              <w:contextualSpacing w:val="0"/>
                            </w:pPr>
                            <w:r>
                              <w:t>This letter will likely be drafted by the governance professional (clerk) on behalf of the board and sent to the panel chair for approval.</w:t>
                            </w:r>
                          </w:p>
                          <w:p w14:paraId="217EF6A6" w14:textId="77777777" w:rsidR="00A51B87" w:rsidRDefault="00A51B87" w:rsidP="00A51B87">
                            <w:pPr>
                              <w:pStyle w:val="Bodytextbullets"/>
                              <w:ind w:left="357" w:hanging="357"/>
                              <w:contextualSpacing w:val="0"/>
                            </w:pPr>
                            <w:r>
                              <w:t>A copy of the letter should also be sent to the headteacher.</w:t>
                            </w:r>
                          </w:p>
                          <w:p w14:paraId="1EC8F66E" w14:textId="77777777" w:rsidR="00A51B87" w:rsidRPr="00DF7DE4" w:rsidRDefault="00A51B87" w:rsidP="00A51B87">
                            <w:pPr>
                              <w:pStyle w:val="Bodytextbullets"/>
                              <w:ind w:left="357" w:hanging="357"/>
                              <w:contextualSpacing w:val="0"/>
                            </w:pPr>
                            <w:r>
                              <w:t>Any recommendations included in the letter should by clearly communicated to relevant parties.</w:t>
                            </w:r>
                          </w:p>
                          <w:p w14:paraId="1EA28F50" w14:textId="77777777" w:rsidR="00A51B87" w:rsidRPr="008210A0" w:rsidRDefault="00A51B87" w:rsidP="00A51B87">
                            <w:pPr>
                              <w:pStyle w:val="Bodytextbullets"/>
                              <w:ind w:left="357" w:hanging="357"/>
                              <w:contextualSpacing w:val="0"/>
                            </w:pPr>
                            <w:r>
                              <w:t>The outcome of the panel’s decision should be reported to the full governing board.</w:t>
                            </w:r>
                          </w:p>
                          <w:p w14:paraId="5D60B020" w14:textId="77777777" w:rsidR="00A51B87" w:rsidRDefault="00A51B87" w:rsidP="00A51B87">
                            <w:pPr>
                              <w:pStyle w:val="Bodytext1"/>
                            </w:pPr>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inline>
            </w:drawing>
          </mc:Choice>
          <mc:Fallback>
            <w:pict>
              <v:shapetype w14:anchorId="139D53DC" id="_x0000_t202" coordsize="21600,21600" o:spt="202" path="m,l,21600r21600,l21600,xe">
                <v:stroke joinstyle="miter"/>
                <v:path gradientshapeok="t" o:connecttype="rect"/>
              </v:shapetype>
              <v:shape id="Text Box 2007955075" o:spid="_x0000_s1026" type="#_x0000_t202" alt="Thank you for using the checklist&#10;If you have any feedback you’d like to share, please email kcfeedback@nga.org.uk&#10;" style="width:482.25pt;height:1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" fillcolor="#f2f2f2 [3052]" stroked="f" strokeweight=".5pt">
                <v:textbox inset="10mm,5mm,10mm,5mm">
                  <w:txbxContent>
                    <w:p w14:paraId="462556C7" w14:textId="77777777" w:rsidR="00A51B87" w:rsidRDefault="00A51B87" w:rsidP="00A51B87">
                      <w:pPr>
                        <w:pStyle w:val="Bodytextbullets"/>
                        <w:ind w:left="357" w:hanging="357"/>
                        <w:contextualSpacing w:val="0"/>
                      </w:pPr>
                      <w:r>
                        <w:t>This letter will likely be drafted by the governance professional (clerk) on behalf of the board and sent to the panel chair for approval.</w:t>
                      </w:r>
                    </w:p>
                    <w:p w14:paraId="217EF6A6" w14:textId="77777777" w:rsidR="00A51B87" w:rsidRDefault="00A51B87" w:rsidP="00A51B87">
                      <w:pPr>
                        <w:pStyle w:val="Bodytextbullets"/>
                        <w:ind w:left="357" w:hanging="357"/>
                        <w:contextualSpacing w:val="0"/>
                      </w:pPr>
                      <w:r>
                        <w:t>A copy of the letter should also be sent to the headteacher.</w:t>
                      </w:r>
                    </w:p>
                    <w:p w14:paraId="1EC8F66E" w14:textId="77777777" w:rsidR="00A51B87" w:rsidRPr="00DF7DE4" w:rsidRDefault="00A51B87" w:rsidP="00A51B87">
                      <w:pPr>
                        <w:pStyle w:val="Bodytextbullets"/>
                        <w:ind w:left="357" w:hanging="357"/>
                        <w:contextualSpacing w:val="0"/>
                      </w:pPr>
                      <w:r>
                        <w:t>Any recommendations included in the letter should by clearly communicated to relevant parties.</w:t>
                      </w:r>
                    </w:p>
                    <w:p w14:paraId="1EA28F50" w14:textId="77777777" w:rsidR="00A51B87" w:rsidRPr="008210A0" w:rsidRDefault="00A51B87" w:rsidP="00A51B87">
                      <w:pPr>
                        <w:pStyle w:val="Bodytextbullets"/>
                        <w:ind w:left="357" w:hanging="357"/>
                        <w:contextualSpacing w:val="0"/>
                      </w:pPr>
                      <w:r>
                        <w:t>The outcome of the panel’s decision should be reported to the full governing board.</w:t>
                      </w:r>
                    </w:p>
                    <w:p w14:paraId="5D60B020" w14:textId="77777777" w:rsidR="00A51B87" w:rsidRDefault="00A51B87" w:rsidP="00A51B87">
                      <w:pPr>
                        <w:pStyle w:val="Bodytext1"/>
                      </w:pPr>
                    </w:p>
                  </w:txbxContent>
                </v:textbox>
                <w10:anchorlock/>
              </v:shape>
            </w:pict>
          </mc:Fallback>
        </mc:AlternateContent>
      </w:r>
    </w:p>
    <w:p w14:paraId="46CAC1AC" w14:textId="77777777" w:rsidR="009A3FE1" w:rsidRPr="009A3FE1" w:rsidRDefault="009A3FE1" w:rsidP="009A3FE1">
      <w:pPr>
        <w:rPr>
          <w:rFonts w:ascii="Lexend Deca Light" w:eastAsiaTheme="minorEastAsia" w:hAnsi="Lexend Deca Light"/>
          <w:lang w:val="en-US"/>
        </w:rPr>
      </w:pPr>
    </w:p>
    <w:p w14:paraId="77DDB2D7" w14:textId="77777777" w:rsidR="009A3FE1" w:rsidRPr="009A3FE1" w:rsidRDefault="009A3FE1" w:rsidP="009A3FE1">
      <w:pPr>
        <w:rPr>
          <w:rFonts w:ascii="Lexend Deca Light" w:eastAsiaTheme="minorEastAsia" w:hAnsi="Lexend Deca Light"/>
          <w:lang w:val="en-US"/>
        </w:rPr>
      </w:pPr>
    </w:p>
    <w:p w14:paraId="464B59B9" w14:textId="77777777" w:rsidR="009A3FE1" w:rsidRPr="009A3FE1" w:rsidRDefault="009A3FE1" w:rsidP="009A3FE1">
      <w:pPr>
        <w:rPr>
          <w:rFonts w:ascii="Lexend Deca Light" w:eastAsiaTheme="minorEastAsia" w:hAnsi="Lexend Deca Light"/>
          <w:lang w:val="en-US"/>
        </w:rPr>
      </w:pPr>
    </w:p>
    <w:p w14:paraId="3A646489" w14:textId="77777777" w:rsidR="009A3FE1" w:rsidRPr="009A3FE1" w:rsidRDefault="009A3FE1" w:rsidP="009A3FE1">
      <w:pPr>
        <w:rPr>
          <w:rFonts w:ascii="Lexend Deca Light" w:eastAsiaTheme="minorEastAsia" w:hAnsi="Lexend Deca Light"/>
          <w:lang w:val="en-US"/>
        </w:rPr>
      </w:pPr>
    </w:p>
    <w:p w14:paraId="7E454859" w14:textId="77777777" w:rsidR="009A3FE1" w:rsidRPr="009A3FE1" w:rsidRDefault="009A3FE1" w:rsidP="009A3FE1">
      <w:pPr>
        <w:rPr>
          <w:rFonts w:ascii="Lexend Deca Light" w:eastAsiaTheme="minorEastAsia" w:hAnsi="Lexend Deca Light"/>
          <w:lang w:val="en-US"/>
        </w:rPr>
      </w:pPr>
    </w:p>
    <w:p w14:paraId="5E324908" w14:textId="77777777" w:rsidR="009A3FE1" w:rsidRPr="009A3FE1" w:rsidRDefault="009A3FE1" w:rsidP="009A3FE1">
      <w:pPr>
        <w:rPr>
          <w:rFonts w:ascii="Lexend Deca Light" w:eastAsiaTheme="minorEastAsia" w:hAnsi="Lexend Deca Light"/>
          <w:lang w:val="en-US"/>
        </w:rPr>
      </w:pPr>
    </w:p>
    <w:p w14:paraId="76FB750F" w14:textId="59B93181" w:rsidR="009A3FE1" w:rsidRPr="009A3FE1" w:rsidRDefault="00CF683C" w:rsidP="00CF683C">
      <w:pPr>
        <w:tabs>
          <w:tab w:val="left" w:pos="1200"/>
          <w:tab w:val="left" w:pos="2385"/>
          <w:tab w:val="left" w:pos="9450"/>
        </w:tabs>
        <w:rPr>
          <w:rFonts w:ascii="Lexend Deca Light" w:eastAsiaTheme="minorEastAsia" w:hAnsi="Lexend Deca Light"/>
          <w:lang w:val="en-US"/>
        </w:rPr>
      </w:pPr>
      <w:r>
        <w:rPr>
          <w:rFonts w:ascii="Lexend Deca Light" w:eastAsiaTheme="minorEastAsia" w:hAnsi="Lexend Deca Light"/>
          <w:lang w:val="en-US"/>
        </w:rPr>
        <w:tab/>
      </w:r>
    </w:p>
    <w:sectPr w:rsidR="009A3FE1" w:rsidRPr="009A3FE1" w:rsidSect="00C9113C">
      <w:headerReference w:type="default" r:id="rId12"/>
      <w:footerReference w:type="default" r:id="rId13"/>
      <w:headerReference w:type="first" r:id="rId14"/>
      <w:footerReference w:type="first" r:id="rId15"/>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2F21" w14:textId="77777777" w:rsidR="00DF7908" w:rsidRDefault="00DF7908" w:rsidP="00AD32FB">
      <w:pPr>
        <w:spacing w:after="0" w:line="240" w:lineRule="auto"/>
      </w:pPr>
      <w:r>
        <w:separator/>
      </w:r>
    </w:p>
  </w:endnote>
  <w:endnote w:type="continuationSeparator" w:id="0">
    <w:p w14:paraId="5134E9CE" w14:textId="77777777" w:rsidR="00DF7908" w:rsidRDefault="00DF7908" w:rsidP="00AD32FB">
      <w:pPr>
        <w:spacing w:after="0" w:line="240" w:lineRule="auto"/>
      </w:pPr>
      <w:r>
        <w:continuationSeparator/>
      </w:r>
    </w:p>
  </w:endnote>
  <w:endnote w:type="continuationNotice" w:id="1">
    <w:p w14:paraId="22A8F359" w14:textId="77777777" w:rsidR="00DF7908" w:rsidRDefault="00DF7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end Deca Light">
    <w:altName w:val="Lexend Deca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altName w:val="New Kansas SemiBold"/>
    <w:panose1 w:val="00000000000000000000"/>
    <w:charset w:val="00"/>
    <w:family w:val="modern"/>
    <w:notTrueType/>
    <w:pitch w:val="variable"/>
    <w:sig w:usb0="A00000EF" w:usb1="4000206B" w:usb2="00000000" w:usb3="00000000" w:csb0="00000093" w:csb1="00000000"/>
  </w:font>
  <w:font w:name="Lexend Deca SemiBold">
    <w:panose1 w:val="00000000000000000000"/>
    <w:charset w:val="00"/>
    <w:family w:val="auto"/>
    <w:pitch w:val="variable"/>
    <w:sig w:usb0="A00000FF" w:usb1="4000205B" w:usb2="00000000" w:usb3="00000000" w:csb0="00000193" w:csb1="00000000"/>
  </w:font>
  <w:font w:name="Helvetica Neue">
    <w:altName w:val="Sylfaen"/>
    <w:charset w:val="00"/>
    <w:family w:val="auto"/>
    <w:pitch w:val="variable"/>
    <w:sig w:usb0="E50002FF" w:usb1="500079DB" w:usb2="00000010" w:usb3="00000000" w:csb0="00000001" w:csb1="00000000"/>
  </w:font>
  <w:font w:name="Lexend Deca">
    <w:altName w:val="Lexend Deca"/>
    <w:panose1 w:val="00000000000000000000"/>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1A97" w14:textId="7B10CEF3" w:rsidR="00A54BC4" w:rsidRPr="00CF683C" w:rsidRDefault="00FF0D88" w:rsidP="0092179F">
    <w:pPr>
      <w:pStyle w:val="Bodytextsmall"/>
      <w:rPr>
        <w:sz w:val="20"/>
        <w:szCs w:val="20"/>
      </w:rPr>
    </w:pPr>
    <w:r>
      <w:rPr>
        <w:rFonts w:ascii="Calibri" w:hAnsi="Calibri" w:cs="Calibri"/>
        <w:b/>
        <w:bCs/>
        <w:noProof/>
        <w:color w:val="FFFFFF" w:themeColor="background1"/>
        <w:sz w:val="18"/>
        <w:szCs w:val="18"/>
        <w14:ligatures w14:val="standardContextual"/>
      </w:rPr>
      <w:drawing>
        <wp:anchor distT="0" distB="0" distL="114300" distR="114300" simplePos="0" relativeHeight="251660295"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7355891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rPr>
      <mc:AlternateContent>
        <mc:Choice Requires="wps">
          <w:drawing>
            <wp:anchor distT="0" distB="0" distL="114300" distR="114300" simplePos="0" relativeHeight="251658245"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alt="&quot;&quot;" style="position:absolute;margin-left:1036.75pt;margin-top:35.35pt;width:28.05pt;height:28.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23062D" w:rsidRPr="004D6C9F">
      <w:rPr>
        <w:color w:val="00407B"/>
        <w:sz w:val="18"/>
        <w:szCs w:val="18"/>
      </w:rPr>
      <w:t>3</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797D" w14:textId="69AF665F" w:rsidR="00A24ED9" w:rsidRPr="0030306C" w:rsidRDefault="00B42337" w:rsidP="00571724">
    <w:pPr>
      <w:pStyle w:val="Bodytext1"/>
      <w:rPr>
        <w:rStyle w:val="SmartLink"/>
        <w:color w:val="00407B"/>
        <w:sz w:val="28"/>
        <w:szCs w:val="28"/>
        <w:u w:val="none"/>
        <w:shd w:val="clear" w:color="auto" w:fill="auto"/>
      </w:rPr>
    </w:pPr>
    <w:r>
      <w:rPr>
        <w:noProof/>
      </w:rPr>
      <w:drawing>
        <wp:anchor distT="0" distB="0" distL="114300" distR="114300" simplePos="0" relativeHeight="251658247"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34030840" name="Picture 340308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r w:rsidR="00FA103C">
      <w:rPr>
        <w:noProof/>
      </w:rPr>
      <w:drawing>
        <wp:anchor distT="0" distB="0" distL="114300" distR="114300" simplePos="0" relativeHeight="251662343" behindDoc="1" locked="1" layoutInCell="1" allowOverlap="1" wp14:anchorId="08F72E05" wp14:editId="44CB8213">
          <wp:simplePos x="0" y="0"/>
          <wp:positionH relativeFrom="column">
            <wp:posOffset>-219075</wp:posOffset>
          </wp:positionH>
          <wp:positionV relativeFrom="page">
            <wp:posOffset>8986520</wp:posOffset>
          </wp:positionV>
          <wp:extent cx="2367915" cy="923290"/>
          <wp:effectExtent l="0" t="0" r="0" b="0"/>
          <wp:wrapNone/>
          <wp:docPr id="8716611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EF9A" w14:textId="77777777" w:rsidR="00DF7908" w:rsidRDefault="00DF7908" w:rsidP="00AD32FB">
      <w:pPr>
        <w:spacing w:after="0" w:line="240" w:lineRule="auto"/>
      </w:pPr>
      <w:r>
        <w:separator/>
      </w:r>
    </w:p>
  </w:footnote>
  <w:footnote w:type="continuationSeparator" w:id="0">
    <w:p w14:paraId="186E680C" w14:textId="77777777" w:rsidR="00DF7908" w:rsidRDefault="00DF7908" w:rsidP="00AD32FB">
      <w:pPr>
        <w:spacing w:after="0" w:line="240" w:lineRule="auto"/>
      </w:pPr>
      <w:r>
        <w:continuationSeparator/>
      </w:r>
    </w:p>
  </w:footnote>
  <w:footnote w:type="continuationNotice" w:id="1">
    <w:p w14:paraId="5F8EF0BE" w14:textId="77777777" w:rsidR="00DF7908" w:rsidRDefault="00DF79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3B48" w14:textId="1BE71EE1" w:rsidR="00A54BC4" w:rsidRDefault="00013C85">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1" behindDoc="1" locked="0" layoutInCell="1" allowOverlap="1" wp14:anchorId="1565B7B5" wp14:editId="485B9C54">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26389" id="Rectangle 13" o:spid="_x0000_s1026" alt="&quot;&quot;" style="position:absolute;margin-left:-39.6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6647" w14:textId="34790EFD" w:rsidR="00AD32FB" w:rsidRDefault="00B42337">
    <w:pPr>
      <w:pStyle w:val="Header"/>
    </w:pPr>
    <w:r>
      <w:rPr>
        <w:noProof/>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1699866546" name="Picture 16998665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val="en-US"/>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7A37C12"/>
    <w:multiLevelType w:val="hybridMultilevel"/>
    <w:tmpl w:val="2076ADD0"/>
    <w:lvl w:ilvl="0" w:tplc="4FF8428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A27E4"/>
    <w:multiLevelType w:val="hybridMultilevel"/>
    <w:tmpl w:val="2EA49146"/>
    <w:lvl w:ilvl="0" w:tplc="4FF8428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77F9B"/>
    <w:multiLevelType w:val="hybridMultilevel"/>
    <w:tmpl w:val="475E3EAE"/>
    <w:lvl w:ilvl="0" w:tplc="4FF8428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233870">
    <w:abstractNumId w:val="16"/>
  </w:num>
  <w:num w:numId="2" w16cid:durableId="64186208">
    <w:abstractNumId w:val="11"/>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2"/>
  </w:num>
  <w:num w:numId="14" w16cid:durableId="876966316">
    <w:abstractNumId w:val="10"/>
  </w:num>
  <w:num w:numId="15" w16cid:durableId="988366772">
    <w:abstractNumId w:val="15"/>
  </w:num>
  <w:num w:numId="16" w16cid:durableId="313027834">
    <w:abstractNumId w:val="14"/>
  </w:num>
  <w:num w:numId="17" w16cid:durableId="1871603040">
    <w:abstractNumId w:val="13"/>
  </w:num>
  <w:num w:numId="18" w16cid:durableId="1495334937">
    <w:abstractNumId w:val="16"/>
  </w:num>
  <w:num w:numId="19" w16cid:durableId="53111768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3C85"/>
    <w:rsid w:val="00020CBF"/>
    <w:rsid w:val="00024F0B"/>
    <w:rsid w:val="00040CB2"/>
    <w:rsid w:val="00042D6B"/>
    <w:rsid w:val="00054BAC"/>
    <w:rsid w:val="00072E6F"/>
    <w:rsid w:val="000A2D6E"/>
    <w:rsid w:val="000F206F"/>
    <w:rsid w:val="000F642F"/>
    <w:rsid w:val="00100991"/>
    <w:rsid w:val="00112BA4"/>
    <w:rsid w:val="0011654E"/>
    <w:rsid w:val="00121DB2"/>
    <w:rsid w:val="001251FF"/>
    <w:rsid w:val="0015723F"/>
    <w:rsid w:val="00172388"/>
    <w:rsid w:val="001732EC"/>
    <w:rsid w:val="00180AE5"/>
    <w:rsid w:val="001A0F57"/>
    <w:rsid w:val="001A6E78"/>
    <w:rsid w:val="001A7100"/>
    <w:rsid w:val="001C38C7"/>
    <w:rsid w:val="001C4295"/>
    <w:rsid w:val="001D3995"/>
    <w:rsid w:val="001D3B86"/>
    <w:rsid w:val="001E0CFE"/>
    <w:rsid w:val="001E35B4"/>
    <w:rsid w:val="001E7470"/>
    <w:rsid w:val="001F1370"/>
    <w:rsid w:val="00207EDA"/>
    <w:rsid w:val="002118F6"/>
    <w:rsid w:val="0023062D"/>
    <w:rsid w:val="00243573"/>
    <w:rsid w:val="00243F8D"/>
    <w:rsid w:val="0027247E"/>
    <w:rsid w:val="002740B0"/>
    <w:rsid w:val="00274654"/>
    <w:rsid w:val="002911F1"/>
    <w:rsid w:val="002A22C7"/>
    <w:rsid w:val="002B0AA8"/>
    <w:rsid w:val="002C3625"/>
    <w:rsid w:val="002F61F4"/>
    <w:rsid w:val="0030306C"/>
    <w:rsid w:val="00333061"/>
    <w:rsid w:val="00340765"/>
    <w:rsid w:val="0034188B"/>
    <w:rsid w:val="00351CEF"/>
    <w:rsid w:val="00362EE3"/>
    <w:rsid w:val="00373E16"/>
    <w:rsid w:val="0038181E"/>
    <w:rsid w:val="00381D5F"/>
    <w:rsid w:val="00393F26"/>
    <w:rsid w:val="00395DC6"/>
    <w:rsid w:val="003D7076"/>
    <w:rsid w:val="003F50A5"/>
    <w:rsid w:val="004100B4"/>
    <w:rsid w:val="00417CD2"/>
    <w:rsid w:val="00420BAB"/>
    <w:rsid w:val="00425133"/>
    <w:rsid w:val="00430069"/>
    <w:rsid w:val="0048205F"/>
    <w:rsid w:val="004821DD"/>
    <w:rsid w:val="0049464F"/>
    <w:rsid w:val="004A0A72"/>
    <w:rsid w:val="004A5829"/>
    <w:rsid w:val="004B32C0"/>
    <w:rsid w:val="004D12D3"/>
    <w:rsid w:val="004D666A"/>
    <w:rsid w:val="004D6C9F"/>
    <w:rsid w:val="004E0A34"/>
    <w:rsid w:val="004E1A84"/>
    <w:rsid w:val="004E20F3"/>
    <w:rsid w:val="004E36AD"/>
    <w:rsid w:val="005040B5"/>
    <w:rsid w:val="00504AF1"/>
    <w:rsid w:val="005253FE"/>
    <w:rsid w:val="00525461"/>
    <w:rsid w:val="00546199"/>
    <w:rsid w:val="0055505B"/>
    <w:rsid w:val="00571724"/>
    <w:rsid w:val="0057256D"/>
    <w:rsid w:val="005755D6"/>
    <w:rsid w:val="00584451"/>
    <w:rsid w:val="00592098"/>
    <w:rsid w:val="00593E58"/>
    <w:rsid w:val="005A5729"/>
    <w:rsid w:val="005B6B32"/>
    <w:rsid w:val="005D77DE"/>
    <w:rsid w:val="005E57E3"/>
    <w:rsid w:val="005E6E5F"/>
    <w:rsid w:val="00621501"/>
    <w:rsid w:val="006362FA"/>
    <w:rsid w:val="00662EB2"/>
    <w:rsid w:val="006818BF"/>
    <w:rsid w:val="00681F36"/>
    <w:rsid w:val="006C7222"/>
    <w:rsid w:val="006D66B9"/>
    <w:rsid w:val="006D6883"/>
    <w:rsid w:val="006D6FF6"/>
    <w:rsid w:val="006F5DE3"/>
    <w:rsid w:val="00706736"/>
    <w:rsid w:val="00726F25"/>
    <w:rsid w:val="007371C1"/>
    <w:rsid w:val="007500A6"/>
    <w:rsid w:val="007949C3"/>
    <w:rsid w:val="00795EBC"/>
    <w:rsid w:val="007B7ACF"/>
    <w:rsid w:val="007D44AC"/>
    <w:rsid w:val="007D69A5"/>
    <w:rsid w:val="007F2368"/>
    <w:rsid w:val="007F27E2"/>
    <w:rsid w:val="0080174C"/>
    <w:rsid w:val="008236C2"/>
    <w:rsid w:val="00833479"/>
    <w:rsid w:val="0084363A"/>
    <w:rsid w:val="008551B1"/>
    <w:rsid w:val="0086557A"/>
    <w:rsid w:val="008828EB"/>
    <w:rsid w:val="008947EF"/>
    <w:rsid w:val="008A437E"/>
    <w:rsid w:val="008E1E50"/>
    <w:rsid w:val="008E2104"/>
    <w:rsid w:val="009169F9"/>
    <w:rsid w:val="0092179F"/>
    <w:rsid w:val="00925815"/>
    <w:rsid w:val="0093331A"/>
    <w:rsid w:val="00934F3D"/>
    <w:rsid w:val="00952580"/>
    <w:rsid w:val="00952E7E"/>
    <w:rsid w:val="00957E12"/>
    <w:rsid w:val="00974E81"/>
    <w:rsid w:val="009775DC"/>
    <w:rsid w:val="009A3FE1"/>
    <w:rsid w:val="009C7B24"/>
    <w:rsid w:val="009E125C"/>
    <w:rsid w:val="009E1C1D"/>
    <w:rsid w:val="009E4AF8"/>
    <w:rsid w:val="009F6A31"/>
    <w:rsid w:val="00A028D4"/>
    <w:rsid w:val="00A079F1"/>
    <w:rsid w:val="00A134EC"/>
    <w:rsid w:val="00A13848"/>
    <w:rsid w:val="00A23D79"/>
    <w:rsid w:val="00A24ED9"/>
    <w:rsid w:val="00A25306"/>
    <w:rsid w:val="00A51B87"/>
    <w:rsid w:val="00A52C2F"/>
    <w:rsid w:val="00A52CF6"/>
    <w:rsid w:val="00A54BC4"/>
    <w:rsid w:val="00A62589"/>
    <w:rsid w:val="00A6547F"/>
    <w:rsid w:val="00A67408"/>
    <w:rsid w:val="00A715B0"/>
    <w:rsid w:val="00A73143"/>
    <w:rsid w:val="00A914C4"/>
    <w:rsid w:val="00AB3BCF"/>
    <w:rsid w:val="00AC5A80"/>
    <w:rsid w:val="00AD02A7"/>
    <w:rsid w:val="00AD32FB"/>
    <w:rsid w:val="00AD34FF"/>
    <w:rsid w:val="00AD5043"/>
    <w:rsid w:val="00B23AA4"/>
    <w:rsid w:val="00B30BFA"/>
    <w:rsid w:val="00B31DE3"/>
    <w:rsid w:val="00B42337"/>
    <w:rsid w:val="00B51A1C"/>
    <w:rsid w:val="00B75204"/>
    <w:rsid w:val="00BA313D"/>
    <w:rsid w:val="00BB67F5"/>
    <w:rsid w:val="00BB7529"/>
    <w:rsid w:val="00BC397A"/>
    <w:rsid w:val="00BD6C48"/>
    <w:rsid w:val="00BE0AF7"/>
    <w:rsid w:val="00BE6766"/>
    <w:rsid w:val="00BE73B5"/>
    <w:rsid w:val="00C05C03"/>
    <w:rsid w:val="00C10DDB"/>
    <w:rsid w:val="00C1502C"/>
    <w:rsid w:val="00C322FF"/>
    <w:rsid w:val="00C74136"/>
    <w:rsid w:val="00C756DF"/>
    <w:rsid w:val="00C75FE3"/>
    <w:rsid w:val="00C825D9"/>
    <w:rsid w:val="00C8667A"/>
    <w:rsid w:val="00C9113C"/>
    <w:rsid w:val="00CA0C3E"/>
    <w:rsid w:val="00CB0D17"/>
    <w:rsid w:val="00CB232C"/>
    <w:rsid w:val="00CB441B"/>
    <w:rsid w:val="00CC0269"/>
    <w:rsid w:val="00CC0E8C"/>
    <w:rsid w:val="00CC1A16"/>
    <w:rsid w:val="00CD03F1"/>
    <w:rsid w:val="00CD0AF4"/>
    <w:rsid w:val="00CE226E"/>
    <w:rsid w:val="00CF683C"/>
    <w:rsid w:val="00D156F5"/>
    <w:rsid w:val="00D33CF4"/>
    <w:rsid w:val="00D37584"/>
    <w:rsid w:val="00D53ABD"/>
    <w:rsid w:val="00D74FA6"/>
    <w:rsid w:val="00DB4775"/>
    <w:rsid w:val="00DB514E"/>
    <w:rsid w:val="00DC0670"/>
    <w:rsid w:val="00DC1D6E"/>
    <w:rsid w:val="00DD5890"/>
    <w:rsid w:val="00DF7908"/>
    <w:rsid w:val="00E128D7"/>
    <w:rsid w:val="00E140A3"/>
    <w:rsid w:val="00E17407"/>
    <w:rsid w:val="00E326A4"/>
    <w:rsid w:val="00E36C8A"/>
    <w:rsid w:val="00E63D2B"/>
    <w:rsid w:val="00E701C2"/>
    <w:rsid w:val="00E723F4"/>
    <w:rsid w:val="00E7720B"/>
    <w:rsid w:val="00E80063"/>
    <w:rsid w:val="00EA4B8D"/>
    <w:rsid w:val="00EB2C79"/>
    <w:rsid w:val="00ED13E4"/>
    <w:rsid w:val="00ED64D6"/>
    <w:rsid w:val="00EE19EF"/>
    <w:rsid w:val="00EE7361"/>
    <w:rsid w:val="00EF33CE"/>
    <w:rsid w:val="00F00F57"/>
    <w:rsid w:val="00F22E23"/>
    <w:rsid w:val="00F415DB"/>
    <w:rsid w:val="00F4360E"/>
    <w:rsid w:val="00F5428F"/>
    <w:rsid w:val="00F66D3A"/>
    <w:rsid w:val="00F912CD"/>
    <w:rsid w:val="00F95C65"/>
    <w:rsid w:val="00FA103C"/>
    <w:rsid w:val="00FD1773"/>
    <w:rsid w:val="00FF0D88"/>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373E16"/>
    <w:pPr>
      <w:keepNext/>
      <w:keepLines/>
      <w:spacing w:before="240" w:after="240" w:line="240" w:lineRule="auto"/>
      <w:outlineLvl w:val="0"/>
    </w:pPr>
    <w:rPr>
      <w:rFonts w:ascii="New Kansas SemiBold" w:eastAsiaTheme="majorEastAsia" w:hAnsi="New Kansas SemiBold" w:cstheme="majorBidi"/>
      <w:b/>
      <w:color w:val="00407B"/>
      <w:sz w:val="64"/>
      <w:szCs w:val="32"/>
    </w:rPr>
  </w:style>
  <w:style w:type="paragraph" w:styleId="Heading2">
    <w:name w:val="heading 2"/>
    <w:basedOn w:val="Normal"/>
    <w:next w:val="Normal"/>
    <w:link w:val="Heading2Char"/>
    <w:uiPriority w:val="9"/>
    <w:unhideWhenUsed/>
    <w:qFormat/>
    <w:rsid w:val="00EB2C79"/>
    <w:pPr>
      <w:keepNext/>
      <w:keepLines/>
      <w:spacing w:before="40" w:after="60" w:line="192" w:lineRule="auto"/>
      <w:outlineLvl w:val="1"/>
    </w:pPr>
    <w:rPr>
      <w:rFonts w:ascii="New Kansas SemiBold" w:eastAsiaTheme="majorEastAsia" w:hAnsi="New Kansas SemiBold" w:cstheme="majorBidi"/>
      <w:b/>
      <w:color w:val="00407B"/>
      <w:sz w:val="48"/>
      <w:szCs w:val="26"/>
    </w:rPr>
  </w:style>
  <w:style w:type="paragraph" w:styleId="Heading3">
    <w:name w:val="heading 3"/>
    <w:basedOn w:val="Normal"/>
    <w:next w:val="Normal"/>
    <w:link w:val="Heading3Char"/>
    <w:uiPriority w:val="9"/>
    <w:unhideWhenUsed/>
    <w:qFormat/>
    <w:rsid w:val="00EB2C79"/>
    <w:pPr>
      <w:keepNext/>
      <w:keepLines/>
      <w:spacing w:before="40" w:after="60" w:line="192" w:lineRule="auto"/>
      <w:outlineLvl w:val="2"/>
    </w:pPr>
    <w:rPr>
      <w:rFonts w:ascii="Lexend Deca SemiBold" w:eastAsiaTheme="majorEastAsia" w:hAnsi="Lexend Deca SemiBold" w:cstheme="majorBidi"/>
      <w:b/>
      <w:color w:val="00407B"/>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0563C1"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954F72" w:themeColor="followedHyperlink"/>
      <w:u w:val="single"/>
    </w:rPr>
  </w:style>
  <w:style w:type="character" w:customStyle="1" w:styleId="Heading1Char">
    <w:name w:val="Heading 1 Char"/>
    <w:basedOn w:val="DefaultParagraphFont"/>
    <w:link w:val="Heading1"/>
    <w:uiPriority w:val="9"/>
    <w:rsid w:val="00373E16"/>
    <w:rPr>
      <w:rFonts w:ascii="New Kansas SemiBold" w:eastAsiaTheme="majorEastAsia" w:hAnsi="New Kansas SemiBold" w:cstheme="majorBidi"/>
      <w:b/>
      <w:color w:val="00407B"/>
      <w:kern w:val="0"/>
      <w:sz w:val="64"/>
      <w:szCs w:val="32"/>
      <w14:ligatures w14:val="none"/>
    </w:rPr>
  </w:style>
  <w:style w:type="character" w:customStyle="1" w:styleId="Heading2Char">
    <w:name w:val="Heading 2 Char"/>
    <w:basedOn w:val="DefaultParagraphFont"/>
    <w:link w:val="Heading2"/>
    <w:uiPriority w:val="9"/>
    <w:rsid w:val="00EB2C79"/>
    <w:rPr>
      <w:rFonts w:ascii="New Kansas SemiBold" w:eastAsiaTheme="majorEastAsia" w:hAnsi="New Kansas SemiBold" w:cstheme="majorBidi"/>
      <w:b/>
      <w:color w:val="00407B"/>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EB2C79"/>
    <w:rPr>
      <w:rFonts w:ascii="Lexend Deca SemiBold" w:eastAsiaTheme="majorEastAsia" w:hAnsi="Lexend Deca SemiBold" w:cstheme="majorBidi"/>
      <w:b/>
      <w:color w:val="00407B"/>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rsid w:val="00E723F4"/>
    <w:pPr>
      <w:ind w:left="720"/>
      <w:contextualSpacing/>
    </w:pPr>
  </w:style>
  <w:style w:type="paragraph" w:customStyle="1" w:styleId="Bodytextbullets">
    <w:name w:val="Body text bullets"/>
    <w:basedOn w:val="ListParagraph"/>
    <w:qFormat/>
    <w:rsid w:val="004A5829"/>
    <w:pPr>
      <w:numPr>
        <w:numId w:val="1"/>
      </w:numPr>
      <w:spacing w:before="120" w:after="120"/>
    </w:pPr>
    <w:rPr>
      <w:rFonts w:ascii="Lexend Deca Light" w:eastAsiaTheme="minorEastAsia" w:hAnsi="Lexend Deca Light"/>
      <w:color w:val="2E2726"/>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4A5829"/>
    <w:pPr>
      <w:spacing w:after="0" w:line="259" w:lineRule="auto"/>
      <w:outlineLvl w:val="9"/>
    </w:pPr>
    <w:rPr>
      <w:b w:val="0"/>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Bullettext">
    <w:name w:val="Bullet text"/>
    <w:basedOn w:val="Normal"/>
    <w:next w:val="Normal"/>
    <w:qFormat/>
    <w:rsid w:val="009E125C"/>
    <w:pPr>
      <w:numPr>
        <w:numId w:val="14"/>
      </w:numPr>
      <w:spacing w:before="160" w:line="240" w:lineRule="auto"/>
    </w:pPr>
    <w:rPr>
      <w:rFonts w:ascii="Calibri" w:eastAsiaTheme="minorEastAsia" w:hAnsi="Calibri" w:cs="Arial"/>
      <w:color w:val="000000" w:themeColor="text1"/>
      <w:sz w:val="24"/>
      <w:szCs w:val="20"/>
    </w:rPr>
  </w:style>
  <w:style w:type="paragraph" w:customStyle="1" w:styleId="MainText">
    <w:name w:val="Main Text"/>
    <w:basedOn w:val="Normal"/>
    <w:link w:val="MainTextChar"/>
    <w:qFormat/>
    <w:rsid w:val="00D33CF4"/>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D33CF4"/>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D33CF4"/>
    <w:rPr>
      <w:rFonts w:cstheme="majorHAnsi"/>
      <w:b/>
      <w:bCs/>
      <w:color w:val="054078"/>
    </w:rPr>
  </w:style>
  <w:style w:type="character" w:customStyle="1" w:styleId="BoldemphasisChar">
    <w:name w:val="Bold emphasis Char"/>
    <w:basedOn w:val="MainTextChar"/>
    <w:link w:val="Boldemphasis"/>
    <w:rsid w:val="00D33CF4"/>
    <w:rPr>
      <w:rFonts w:ascii="Calibri" w:eastAsiaTheme="minorEastAsia" w:hAnsi="Calibri" w:cstheme="majorHAnsi"/>
      <w:b/>
      <w:bCs/>
      <w:color w:val="054078"/>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gov.uk/contact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SharedWithUsers xmlns="abafda70-30e8-4089-8443-ebe9741ee9b5">
      <UserInfo>
        <DisplayName>Ella Colley</DisplayName>
        <AccountId>15</AccountId>
        <AccountType/>
      </UserInfo>
      <UserInfo>
        <DisplayName>Matthew Swann</DisplayName>
        <AccountId>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7" ma:contentTypeDescription="Create a new document." ma:contentTypeScope="" ma:versionID="2d95e2c16d4625a45fe5f571a0ddb852">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6933dbb1ffb6753dfce25401f4cc362e"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2.xml><?xml version="1.0" encoding="utf-8"?>
<ds:datastoreItem xmlns:ds="http://schemas.openxmlformats.org/officeDocument/2006/customXml" ds:itemID="{2A6B4D1E-4A1A-428A-BEE2-71C51F7BB14C}"/>
</file>

<file path=customXml/itemProps3.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4.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2228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panel letter</dc:title>
  <dc:subject>Complaints procedure</dc:subject>
  <dc:creator>National Governance Association</dc:creator>
  <cp:keywords/>
  <dc:description/>
  <cp:lastModifiedBy>Ella Colley</cp:lastModifiedBy>
  <cp:revision>2</cp:revision>
  <cp:lastPrinted>2023-05-04T11:41:00Z</cp:lastPrinted>
  <dcterms:created xsi:type="dcterms:W3CDTF">2023-07-12T11:28:00Z</dcterms:created>
  <dcterms:modified xsi:type="dcterms:W3CDTF">2023-07-12T11:28:00Z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